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9E" w:rsidRDefault="0054229E" w:rsidP="0054229E">
      <w:pPr>
        <w:spacing w:line="360" w:lineRule="auto"/>
        <w:jc w:val="both"/>
        <w:rPr>
          <w:rFonts w:ascii="Gill Sans MT" w:hAnsi="Gill Sans MT"/>
          <w:b/>
          <w:sz w:val="24"/>
          <w:szCs w:val="24"/>
          <w:lang w:val="it-IT"/>
        </w:rPr>
      </w:pPr>
      <w:r>
        <w:rPr>
          <w:rFonts w:ascii="Gill Sans MT" w:hAnsi="Gill Sans MT"/>
          <w:b/>
          <w:sz w:val="24"/>
          <w:szCs w:val="24"/>
          <w:lang w:val="it-IT"/>
        </w:rPr>
        <w:t>ALLEGATO 1)</w:t>
      </w:r>
      <w:bookmarkStart w:id="0" w:name="_GoBack"/>
      <w:bookmarkEnd w:id="0"/>
    </w:p>
    <w:p w:rsidR="004D7B0A" w:rsidRPr="0054229E" w:rsidRDefault="004D7B0A" w:rsidP="0054229E">
      <w:pPr>
        <w:spacing w:line="360" w:lineRule="auto"/>
        <w:jc w:val="both"/>
        <w:rPr>
          <w:rFonts w:ascii="Gill Sans MT" w:hAnsi="Gill Sans MT"/>
          <w:b/>
          <w:sz w:val="24"/>
          <w:szCs w:val="24"/>
          <w:lang w:val="it-IT"/>
        </w:rPr>
      </w:pPr>
      <w:r>
        <w:rPr>
          <w:rFonts w:ascii="Gill Sans MT" w:hAnsi="Gill Sans MT"/>
          <w:b/>
          <w:sz w:val="24"/>
          <w:szCs w:val="24"/>
          <w:lang w:val="it-IT"/>
        </w:rPr>
        <w:t>SINTESI ANDAMENTO DELLA PRODUZIONE ANNO 2015</w:t>
      </w:r>
    </w:p>
    <w:p w:rsidR="004D7B0A" w:rsidRPr="00F3131F" w:rsidRDefault="004D7B0A" w:rsidP="004D7B0A">
      <w:pPr>
        <w:spacing w:line="360" w:lineRule="auto"/>
        <w:rPr>
          <w:rFonts w:ascii="Gill Sans MT" w:hAnsi="Gill Sans MT" w:cs="Arial"/>
          <w:b/>
          <w:i/>
          <w:sz w:val="24"/>
          <w:szCs w:val="24"/>
          <w:lang w:val="it-IT"/>
        </w:rPr>
      </w:pPr>
      <w:r w:rsidRPr="00F3131F">
        <w:rPr>
          <w:rFonts w:ascii="Gill Sans MT" w:hAnsi="Gill Sans MT" w:cs="Arial"/>
          <w:b/>
          <w:i/>
          <w:sz w:val="24"/>
          <w:szCs w:val="24"/>
          <w:lang w:val="it-IT"/>
        </w:rPr>
        <w:t xml:space="preserve">Premessa </w:t>
      </w:r>
    </w:p>
    <w:p w:rsidR="004D7B0A" w:rsidRPr="00CB0607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CB0607">
        <w:rPr>
          <w:rFonts w:ascii="Gill Sans MT" w:hAnsi="Gill Sans MT" w:cs="Arial"/>
          <w:sz w:val="24"/>
          <w:szCs w:val="24"/>
          <w:lang w:val="it-IT"/>
        </w:rPr>
        <w:t xml:space="preserve">L’IRCCS Istituto Neurologico Carlo </w:t>
      </w:r>
      <w:proofErr w:type="spellStart"/>
      <w:r w:rsidRPr="00CB0607">
        <w:rPr>
          <w:rFonts w:ascii="Gill Sans MT" w:hAnsi="Gill Sans MT" w:cs="Arial"/>
          <w:sz w:val="24"/>
          <w:szCs w:val="24"/>
          <w:lang w:val="it-IT"/>
        </w:rPr>
        <w:t>Besta</w:t>
      </w:r>
      <w:proofErr w:type="spellEnd"/>
      <w:r w:rsidRPr="00CB0607">
        <w:rPr>
          <w:rFonts w:ascii="Gill Sans MT" w:hAnsi="Gill Sans MT" w:cs="Arial"/>
          <w:sz w:val="24"/>
          <w:szCs w:val="24"/>
          <w:lang w:val="it-IT"/>
        </w:rPr>
        <w:t xml:space="preserve"> è inserito in un contesto strutturale del 1930 e questo crea quotidianamente grandi difficoltà di lavoro per carenza di spazi adatti alle attività sanitarie ed ampiamente insufficienti.</w:t>
      </w:r>
    </w:p>
    <w:p w:rsidR="004D7B0A" w:rsidRPr="00CB0607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CB0607">
        <w:rPr>
          <w:rFonts w:ascii="Gill Sans MT" w:hAnsi="Gill Sans MT" w:cs="Arial"/>
          <w:sz w:val="24"/>
          <w:szCs w:val="24"/>
          <w:lang w:val="it-IT"/>
        </w:rPr>
        <w:t>Nel 2015 sono stati aperti contemporaneamente diversi cantieri per l’adeguamento impiantistico e per una doverosa ristrutturazione di alcune aree, con la conseguente chiusura di intere aree di degenza, riduzione di posti letto e delle attività chirurgiche del Blocco Operatorio.</w:t>
      </w:r>
    </w:p>
    <w:p w:rsidR="004D7B0A" w:rsidRPr="00CB0607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CB0607">
        <w:rPr>
          <w:rFonts w:ascii="Gill Sans MT" w:hAnsi="Gill Sans MT" w:cs="Arial"/>
          <w:sz w:val="24"/>
          <w:szCs w:val="24"/>
          <w:lang w:val="it-IT"/>
        </w:rPr>
        <w:t>Non è stato possibile trasferire le attività in spazi polmone.</w:t>
      </w:r>
    </w:p>
    <w:p w:rsidR="004D7B0A" w:rsidRPr="00CB0607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CB0607">
        <w:rPr>
          <w:rFonts w:ascii="Gill Sans MT" w:hAnsi="Gill Sans MT" w:cs="Arial"/>
          <w:sz w:val="24"/>
          <w:szCs w:val="24"/>
          <w:lang w:val="it-IT"/>
        </w:rPr>
        <w:t>La presenza dei cantieri senza una contestuale disponibilità di spazi polmone, fatto salvo per la recente apertura a settembre del reparto volano al piano terra, ha creato numerose interferenze con l’attività sanitaria con inevitabile impatto sui volumi di attività.</w:t>
      </w:r>
    </w:p>
    <w:p w:rsidR="004D7B0A" w:rsidRPr="00CB0607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CB0607">
        <w:rPr>
          <w:rFonts w:ascii="Gill Sans MT" w:hAnsi="Gill Sans MT" w:cs="Arial"/>
          <w:sz w:val="24"/>
          <w:szCs w:val="24"/>
          <w:lang w:val="it-IT"/>
        </w:rPr>
        <w:t xml:space="preserve">Oltre ai cantieri, sono </w:t>
      </w:r>
      <w:r>
        <w:rPr>
          <w:rFonts w:ascii="Gill Sans MT" w:hAnsi="Gill Sans MT" w:cs="Arial"/>
          <w:sz w:val="24"/>
          <w:szCs w:val="24"/>
          <w:lang w:val="it-IT"/>
        </w:rPr>
        <w:t xml:space="preserve">state </w:t>
      </w:r>
      <w:r w:rsidRPr="00CB0607">
        <w:rPr>
          <w:rFonts w:ascii="Gill Sans MT" w:hAnsi="Gill Sans MT" w:cs="Arial"/>
          <w:sz w:val="24"/>
          <w:szCs w:val="24"/>
          <w:lang w:val="it-IT"/>
        </w:rPr>
        <w:t>numerose le attività di adeguamento impiantistico in tutto l’Istituto, che non si configurano come veri e propri cantieri, ma che hanno comunque richiesto il trasferimento temporaneo delle attività in locali diversi.</w:t>
      </w:r>
    </w:p>
    <w:p w:rsidR="004D7B0A" w:rsidRPr="00CB0607" w:rsidRDefault="004D7B0A" w:rsidP="004D7B0A">
      <w:pPr>
        <w:pStyle w:val="Sommario1"/>
        <w:tabs>
          <w:tab w:val="right" w:leader="dot" w:pos="9639"/>
        </w:tabs>
        <w:spacing w:line="360" w:lineRule="auto"/>
        <w:ind w:right="-478"/>
        <w:rPr>
          <w:rFonts w:ascii="Gill Sans MT" w:hAnsi="Gill Sans MT"/>
          <w:b/>
          <w:sz w:val="22"/>
          <w:lang w:val="it-IT"/>
        </w:rPr>
      </w:pPr>
      <w:r w:rsidRPr="001C12B3">
        <w:rPr>
          <w:rFonts w:ascii="Gill Sans MT" w:hAnsi="Gill Sans MT"/>
          <w:sz w:val="22"/>
          <w:szCs w:val="22"/>
        </w:rPr>
        <w:fldChar w:fldCharType="begin"/>
      </w:r>
      <w:r w:rsidRPr="001C12B3">
        <w:rPr>
          <w:rFonts w:ascii="Gill Sans MT" w:hAnsi="Gill Sans MT"/>
          <w:sz w:val="22"/>
          <w:szCs w:val="22"/>
          <w:lang w:val="it-IT"/>
        </w:rPr>
        <w:instrText xml:space="preserve">TOC \t "Heading 1,1" </w:instrText>
      </w:r>
      <w:r w:rsidRPr="001C12B3"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 w:cs="Arial"/>
          <w:sz w:val="24"/>
          <w:szCs w:val="24"/>
          <w:lang w:val="it-IT"/>
        </w:rPr>
        <w:t xml:space="preserve">La ristrutturazione ha avuto impatto sui ricoveri dell'area chirurgica e neurologica per adulti, mentre i reparti di neurologia pediatrica </w:t>
      </w:r>
      <w:r w:rsidR="00365AEB">
        <w:rPr>
          <w:rFonts w:ascii="Gill Sans MT" w:hAnsi="Gill Sans MT" w:cs="Arial"/>
          <w:sz w:val="24"/>
          <w:szCs w:val="24"/>
          <w:lang w:val="it-IT"/>
        </w:rPr>
        <w:t xml:space="preserve">non </w:t>
      </w:r>
      <w:r>
        <w:rPr>
          <w:rFonts w:ascii="Gill Sans MT" w:hAnsi="Gill Sans MT" w:cs="Arial"/>
          <w:sz w:val="24"/>
          <w:szCs w:val="24"/>
          <w:lang w:val="it-IT"/>
        </w:rPr>
        <w:t>sono stati interessati dai lavori.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>
        <w:rPr>
          <w:rFonts w:ascii="Gill Sans MT" w:hAnsi="Gill Sans MT" w:cs="Arial"/>
          <w:sz w:val="24"/>
          <w:szCs w:val="24"/>
          <w:lang w:val="it-IT"/>
        </w:rPr>
        <w:t xml:space="preserve">La chiusura dei reparti di degenza di Neurochirurgia e di Neurologia durante le ristrutturazioni ha portato un utilizzo di </w:t>
      </w:r>
      <w:r w:rsidRPr="00CC1660">
        <w:rPr>
          <w:rFonts w:ascii="Gill Sans MT" w:hAnsi="Gill Sans MT" w:cs="Arial"/>
          <w:b/>
          <w:sz w:val="24"/>
          <w:szCs w:val="24"/>
          <w:lang w:val="it-IT"/>
        </w:rPr>
        <w:t>1</w:t>
      </w:r>
      <w:r>
        <w:rPr>
          <w:rFonts w:ascii="Gill Sans MT" w:hAnsi="Gill Sans MT" w:cs="Arial"/>
          <w:b/>
          <w:sz w:val="24"/>
          <w:szCs w:val="24"/>
          <w:lang w:val="it-IT"/>
        </w:rPr>
        <w:t>7</w:t>
      </w:r>
      <w:r w:rsidRPr="00CC1660">
        <w:rPr>
          <w:rFonts w:ascii="Gill Sans MT" w:hAnsi="Gill Sans MT" w:cs="Arial"/>
          <w:b/>
          <w:sz w:val="24"/>
          <w:szCs w:val="24"/>
          <w:lang w:val="it-IT"/>
        </w:rPr>
        <w:t xml:space="preserve"> posti letto in meno</w:t>
      </w:r>
      <w:r>
        <w:rPr>
          <w:rFonts w:ascii="Gill Sans MT" w:hAnsi="Gill Sans MT" w:cs="Arial"/>
          <w:sz w:val="24"/>
          <w:szCs w:val="24"/>
          <w:lang w:val="it-IT"/>
        </w:rPr>
        <w:t xml:space="preserve"> rispetto al 2014, così suddivisi:</w:t>
      </w:r>
    </w:p>
    <w:p w:rsidR="004D7B0A" w:rsidRPr="00CC1660" w:rsidRDefault="004D7B0A" w:rsidP="004D7B0A">
      <w:pPr>
        <w:spacing w:line="360" w:lineRule="auto"/>
        <w:jc w:val="both"/>
        <w:rPr>
          <w:rFonts w:ascii="Gill Sans MT" w:hAnsi="Gill Sans MT" w:cs="Arial"/>
          <w:i/>
          <w:sz w:val="24"/>
          <w:szCs w:val="24"/>
          <w:lang w:val="it-IT"/>
        </w:rPr>
      </w:pPr>
      <w:r>
        <w:rPr>
          <w:rFonts w:ascii="Gill Sans MT" w:hAnsi="Gill Sans MT" w:cs="Arial"/>
          <w:sz w:val="24"/>
          <w:szCs w:val="24"/>
          <w:lang w:val="it-IT"/>
        </w:rPr>
        <w:t xml:space="preserve">- </w:t>
      </w:r>
      <w:r>
        <w:rPr>
          <w:rFonts w:ascii="Gill Sans MT" w:hAnsi="Gill Sans MT" w:cs="Arial"/>
          <w:i/>
          <w:sz w:val="24"/>
          <w:szCs w:val="24"/>
          <w:lang w:val="it-IT"/>
        </w:rPr>
        <w:t>35</w:t>
      </w:r>
      <w:r w:rsidRPr="00CC1660">
        <w:rPr>
          <w:rFonts w:ascii="Gill Sans MT" w:hAnsi="Gill Sans MT" w:cs="Arial"/>
          <w:i/>
          <w:sz w:val="24"/>
          <w:szCs w:val="24"/>
          <w:lang w:val="it-IT"/>
        </w:rPr>
        <w:t>% in meno in area chirurgica</w:t>
      </w:r>
      <w:r>
        <w:rPr>
          <w:rFonts w:ascii="Gill Sans MT" w:hAnsi="Gill Sans MT" w:cs="Arial"/>
          <w:i/>
          <w:sz w:val="24"/>
          <w:szCs w:val="24"/>
          <w:lang w:val="it-IT"/>
        </w:rPr>
        <w:t xml:space="preserve"> (Dipartimento di Neurochirurgia)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i/>
          <w:sz w:val="24"/>
          <w:szCs w:val="24"/>
          <w:lang w:val="it-IT"/>
        </w:rPr>
      </w:pPr>
      <w:r>
        <w:rPr>
          <w:rFonts w:ascii="Gill Sans MT" w:hAnsi="Gill Sans MT" w:cs="Arial"/>
          <w:sz w:val="24"/>
          <w:szCs w:val="24"/>
          <w:lang w:val="it-IT"/>
        </w:rPr>
        <w:t xml:space="preserve">- </w:t>
      </w:r>
      <w:r>
        <w:rPr>
          <w:rFonts w:ascii="Gill Sans MT" w:hAnsi="Gill Sans MT" w:cs="Arial"/>
          <w:i/>
          <w:sz w:val="24"/>
          <w:szCs w:val="24"/>
          <w:lang w:val="it-IT"/>
        </w:rPr>
        <w:t>65</w:t>
      </w:r>
      <w:r w:rsidRPr="00CC1660">
        <w:rPr>
          <w:rFonts w:ascii="Gill Sans MT" w:hAnsi="Gill Sans MT" w:cs="Arial"/>
          <w:i/>
          <w:sz w:val="24"/>
          <w:szCs w:val="24"/>
          <w:lang w:val="it-IT"/>
        </w:rPr>
        <w:t xml:space="preserve">% in meno in area </w:t>
      </w:r>
      <w:r>
        <w:rPr>
          <w:rFonts w:ascii="Gill Sans MT" w:hAnsi="Gill Sans MT" w:cs="Arial"/>
          <w:i/>
          <w:sz w:val="24"/>
          <w:szCs w:val="24"/>
          <w:lang w:val="it-IT"/>
        </w:rPr>
        <w:t>neurologica (Dipartimento Neuroscienze Cliniche e Dipartimento di Diagnostica)</w:t>
      </w:r>
      <w:r w:rsidRPr="00CC1660">
        <w:rPr>
          <w:rFonts w:ascii="Gill Sans MT" w:hAnsi="Gill Sans MT" w:cs="Arial"/>
          <w:i/>
          <w:sz w:val="24"/>
          <w:szCs w:val="24"/>
          <w:lang w:val="it-IT"/>
        </w:rPr>
        <w:t>.</w:t>
      </w:r>
    </w:p>
    <w:p w:rsidR="004D7B0A" w:rsidRDefault="004D7B0A">
      <w:pPr>
        <w:spacing w:after="200" w:line="276" w:lineRule="auto"/>
        <w:rPr>
          <w:rFonts w:ascii="Gill Sans MT" w:hAnsi="Gill Sans MT" w:cs="Arial"/>
          <w:i/>
          <w:sz w:val="24"/>
          <w:szCs w:val="24"/>
          <w:lang w:val="it-IT"/>
        </w:rPr>
      </w:pPr>
      <w:r>
        <w:rPr>
          <w:rFonts w:ascii="Gill Sans MT" w:hAnsi="Gill Sans MT" w:cs="Arial"/>
          <w:i/>
          <w:sz w:val="24"/>
          <w:szCs w:val="24"/>
          <w:lang w:val="it-IT"/>
        </w:rPr>
        <w:br w:type="page"/>
      </w:r>
    </w:p>
    <w:p w:rsidR="004D7B0A" w:rsidRDefault="004D7B0A" w:rsidP="004D7B0A">
      <w:pPr>
        <w:spacing w:line="360" w:lineRule="auto"/>
        <w:rPr>
          <w:rFonts w:ascii="Gill Sans MT" w:hAnsi="Gill Sans MT" w:cs="Arial"/>
          <w:b/>
          <w:i/>
          <w:sz w:val="24"/>
          <w:szCs w:val="24"/>
          <w:lang w:val="it-IT"/>
        </w:rPr>
      </w:pPr>
      <w:r>
        <w:rPr>
          <w:rFonts w:ascii="Gill Sans MT" w:hAnsi="Gill Sans MT" w:cs="Arial"/>
          <w:b/>
          <w:i/>
          <w:sz w:val="24"/>
          <w:szCs w:val="24"/>
          <w:lang w:val="it-IT"/>
        </w:rPr>
        <w:lastRenderedPageBreak/>
        <w:t>P</w:t>
      </w:r>
      <w:r w:rsidRPr="00521A58">
        <w:rPr>
          <w:rFonts w:ascii="Gill Sans MT" w:hAnsi="Gill Sans MT" w:cs="Arial"/>
          <w:b/>
          <w:i/>
          <w:sz w:val="24"/>
          <w:szCs w:val="24"/>
          <w:lang w:val="it-IT"/>
        </w:rPr>
        <w:t>RESTAZIONI DI RICOVERO</w:t>
      </w:r>
      <w:r>
        <w:rPr>
          <w:rFonts w:ascii="Gill Sans MT" w:hAnsi="Gill Sans MT" w:cs="Arial"/>
          <w:b/>
          <w:i/>
          <w:sz w:val="24"/>
          <w:szCs w:val="24"/>
          <w:lang w:val="it-IT"/>
        </w:rPr>
        <w:t xml:space="preserve"> ORDINARIO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>
        <w:rPr>
          <w:rFonts w:ascii="Gill Sans MT" w:hAnsi="Gill Sans MT" w:cs="Arial"/>
          <w:sz w:val="24"/>
          <w:szCs w:val="24"/>
          <w:lang w:val="it-IT"/>
        </w:rPr>
        <w:t>In tabella 1.1 si riportano le variazioni di Posti letto medi suddivisi per Dipartimento e l'andamento del numero di ricoveri e relativi ricavi rispetto ai posti letto utilizzati.</w:t>
      </w:r>
    </w:p>
    <w:p w:rsidR="004D7B0A" w:rsidRPr="00BB3988" w:rsidRDefault="004D7B0A" w:rsidP="004D7B0A">
      <w:pPr>
        <w:spacing w:line="360" w:lineRule="auto"/>
        <w:jc w:val="both"/>
        <w:rPr>
          <w:rFonts w:ascii="Gill Sans MT" w:hAnsi="Gill Sans MT" w:cs="Arial"/>
          <w:b/>
          <w:sz w:val="24"/>
          <w:szCs w:val="24"/>
          <w:lang w:val="it-IT"/>
        </w:rPr>
      </w:pPr>
      <w:r w:rsidRPr="00EA219B">
        <w:rPr>
          <w:rFonts w:ascii="Gill Sans MT" w:hAnsi="Gill Sans MT" w:cs="Arial"/>
          <w:b/>
          <w:sz w:val="24"/>
          <w:szCs w:val="24"/>
          <w:lang w:val="it-IT"/>
        </w:rPr>
        <w:t>TABELLA 1.</w:t>
      </w:r>
      <w:r>
        <w:rPr>
          <w:rFonts w:ascii="Gill Sans MT" w:hAnsi="Gill Sans MT" w:cs="Arial"/>
          <w:b/>
          <w:sz w:val="24"/>
          <w:szCs w:val="24"/>
          <w:lang w:val="it-IT"/>
        </w:rPr>
        <w:t>1 – Andamento Numero e Ricavi da Ricovero / PL medi per Dipartimento</w:t>
      </w:r>
    </w:p>
    <w:p w:rsidR="004D7B0A" w:rsidRDefault="004D7B0A" w:rsidP="004D7B0A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Arial"/>
          <w:b/>
          <w:i/>
          <w:sz w:val="24"/>
          <w:szCs w:val="24"/>
          <w:lang w:val="it-IT"/>
        </w:rPr>
      </w:pPr>
      <w:r>
        <w:rPr>
          <w:noProof/>
          <w:lang w:val="it-IT"/>
        </w:rPr>
        <w:drawing>
          <wp:inline distT="0" distB="0" distL="0" distR="0" wp14:anchorId="21A524D9" wp14:editId="57835406">
            <wp:extent cx="6170295" cy="1041400"/>
            <wp:effectExtent l="0" t="0" r="1905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>
        <w:rPr>
          <w:rFonts w:ascii="Gill Sans MT" w:hAnsi="Gill Sans MT" w:cs="Arial"/>
          <w:sz w:val="24"/>
          <w:szCs w:val="24"/>
          <w:lang w:val="it-IT"/>
        </w:rPr>
        <w:t>Per quanto riguarda le prestazioni di ricovero DO della Fondazione i principali fattori da evidenziare sono: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BA0EB2">
        <w:rPr>
          <w:rFonts w:ascii="Gill Sans MT" w:hAnsi="Gill Sans MT" w:cs="Arial"/>
          <w:b/>
          <w:sz w:val="24"/>
          <w:szCs w:val="24"/>
          <w:lang w:val="it-IT"/>
        </w:rPr>
        <w:t xml:space="preserve">1. </w:t>
      </w:r>
      <w:r w:rsidRPr="00BB3988">
        <w:rPr>
          <w:rFonts w:ascii="Gill Sans MT" w:hAnsi="Gill Sans MT" w:cs="Arial"/>
          <w:b/>
          <w:sz w:val="24"/>
          <w:szCs w:val="24"/>
          <w:lang w:val="it-IT"/>
        </w:rPr>
        <w:t>Incremento</w:t>
      </w:r>
      <w:r>
        <w:rPr>
          <w:rFonts w:ascii="Gill Sans MT" w:hAnsi="Gill Sans MT" w:cs="Arial"/>
          <w:b/>
          <w:sz w:val="24"/>
          <w:szCs w:val="24"/>
          <w:lang w:val="it-IT"/>
        </w:rPr>
        <w:t xml:space="preserve"> medio</w:t>
      </w:r>
      <w:r w:rsidRPr="00BB3988">
        <w:rPr>
          <w:rFonts w:ascii="Gill Sans MT" w:hAnsi="Gill Sans MT" w:cs="Arial"/>
          <w:b/>
          <w:sz w:val="24"/>
          <w:szCs w:val="24"/>
          <w:lang w:val="it-IT"/>
        </w:rPr>
        <w:t xml:space="preserve"> del numero di ricoveri ordinari per posto letto</w:t>
      </w:r>
      <w:r>
        <w:rPr>
          <w:rFonts w:ascii="Gill Sans MT" w:hAnsi="Gill Sans MT" w:cs="Arial"/>
          <w:sz w:val="24"/>
          <w:szCs w:val="24"/>
          <w:lang w:val="it-IT"/>
        </w:rPr>
        <w:t xml:space="preserve">, circa 2 ricoveri in più per posto letto (+5.1%), come riportato in tabella 1.2.; 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BA0EB2">
        <w:rPr>
          <w:rFonts w:ascii="Gill Sans MT" w:hAnsi="Gill Sans MT" w:cs="Arial"/>
          <w:b/>
          <w:sz w:val="24"/>
          <w:szCs w:val="24"/>
          <w:lang w:val="it-IT"/>
        </w:rPr>
        <w:t>2.</w:t>
      </w:r>
      <w:r w:rsidRPr="008D443E">
        <w:rPr>
          <w:rFonts w:ascii="Gill Sans MT" w:hAnsi="Gill Sans MT" w:cs="Arial"/>
          <w:b/>
          <w:sz w:val="24"/>
          <w:szCs w:val="24"/>
          <w:lang w:val="it-IT"/>
        </w:rPr>
        <w:t xml:space="preserve"> </w:t>
      </w:r>
      <w:r>
        <w:rPr>
          <w:rFonts w:ascii="Gill Sans MT" w:hAnsi="Gill Sans MT" w:cs="Arial"/>
          <w:b/>
          <w:sz w:val="24"/>
          <w:szCs w:val="24"/>
          <w:lang w:val="it-IT"/>
        </w:rPr>
        <w:t xml:space="preserve">Incremento medio dei </w:t>
      </w:r>
      <w:r w:rsidRPr="00CF219B">
        <w:rPr>
          <w:rFonts w:ascii="Gill Sans MT" w:hAnsi="Gill Sans MT" w:cs="Arial"/>
          <w:b/>
          <w:sz w:val="24"/>
          <w:szCs w:val="24"/>
          <w:lang w:val="it-IT"/>
        </w:rPr>
        <w:t>ricavi da prestazioni di ricovero per posto letto</w:t>
      </w:r>
      <w:r>
        <w:rPr>
          <w:rFonts w:ascii="Gill Sans MT" w:hAnsi="Gill Sans MT" w:cs="Arial"/>
          <w:b/>
          <w:sz w:val="24"/>
          <w:szCs w:val="24"/>
          <w:lang w:val="it-IT"/>
        </w:rPr>
        <w:t xml:space="preserve">, </w:t>
      </w:r>
      <w:r w:rsidRPr="009A311C">
        <w:rPr>
          <w:rFonts w:ascii="Gill Sans MT" w:hAnsi="Gill Sans MT" w:cs="Arial"/>
          <w:sz w:val="24"/>
          <w:szCs w:val="24"/>
          <w:lang w:val="it-IT"/>
        </w:rPr>
        <w:t>pari a c</w:t>
      </w:r>
      <w:r w:rsidRPr="00CF219B">
        <w:rPr>
          <w:rFonts w:ascii="Gill Sans MT" w:hAnsi="Gill Sans MT" w:cs="Arial"/>
          <w:sz w:val="24"/>
          <w:szCs w:val="24"/>
          <w:lang w:val="it-IT"/>
        </w:rPr>
        <w:t>irc</w:t>
      </w:r>
      <w:r>
        <w:rPr>
          <w:rFonts w:ascii="Gill Sans MT" w:hAnsi="Gill Sans MT" w:cs="Arial"/>
          <w:sz w:val="24"/>
          <w:szCs w:val="24"/>
          <w:lang w:val="it-IT"/>
        </w:rPr>
        <w:t>a 8.000 € per posto letto medio (+4.6%) come riportato in tabella 1.2.;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9A311C">
        <w:rPr>
          <w:rFonts w:ascii="Gill Sans MT" w:hAnsi="Gill Sans MT" w:cs="Arial"/>
          <w:b/>
          <w:sz w:val="24"/>
          <w:szCs w:val="24"/>
          <w:lang w:val="it-IT"/>
        </w:rPr>
        <w:t xml:space="preserve">3. </w:t>
      </w:r>
      <w:r>
        <w:rPr>
          <w:rFonts w:ascii="Gill Sans MT" w:hAnsi="Gill Sans MT" w:cs="Arial"/>
          <w:b/>
          <w:sz w:val="24"/>
          <w:szCs w:val="24"/>
          <w:lang w:val="it-IT"/>
        </w:rPr>
        <w:t xml:space="preserve">Incremento della complessità della casistica trattata, </w:t>
      </w:r>
      <w:r w:rsidRPr="00BA0EB2">
        <w:rPr>
          <w:rFonts w:ascii="Gill Sans MT" w:hAnsi="Gill Sans MT" w:cs="Arial"/>
          <w:sz w:val="24"/>
          <w:szCs w:val="24"/>
          <w:lang w:val="it-IT"/>
        </w:rPr>
        <w:t>i</w:t>
      </w:r>
      <w:r>
        <w:rPr>
          <w:rFonts w:ascii="Gill Sans MT" w:hAnsi="Gill Sans MT" w:cs="Arial"/>
          <w:sz w:val="24"/>
          <w:szCs w:val="24"/>
          <w:lang w:val="it-IT"/>
        </w:rPr>
        <w:t>l peso medio DRG da ricoveri ordinari passa da 1.188 a 1.313 (+10.5%);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>
        <w:rPr>
          <w:rFonts w:ascii="Gill Sans MT" w:hAnsi="Gill Sans MT" w:cs="Arial"/>
          <w:sz w:val="24"/>
          <w:szCs w:val="24"/>
          <w:lang w:val="it-IT"/>
        </w:rPr>
        <w:t>In particolare, il peso medio dei ricoveri &gt;1 giorno passa da 1.297 nel 2014 (superiore alla media regionale IRCCS pubblici, pari a 1.28</w:t>
      </w:r>
      <w:r w:rsidR="00365AEB">
        <w:rPr>
          <w:rFonts w:ascii="Gill Sans MT" w:hAnsi="Gill Sans MT" w:cs="Arial"/>
          <w:sz w:val="24"/>
          <w:szCs w:val="24"/>
          <w:lang w:val="it-IT"/>
        </w:rPr>
        <w:t>8</w:t>
      </w:r>
      <w:r>
        <w:rPr>
          <w:rFonts w:ascii="Gill Sans MT" w:hAnsi="Gill Sans MT" w:cs="Arial"/>
          <w:sz w:val="24"/>
          <w:szCs w:val="24"/>
          <w:lang w:val="it-IT"/>
        </w:rPr>
        <w:t xml:space="preserve"> anno 2014) a 1.326 nel 2015.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>
        <w:rPr>
          <w:rFonts w:ascii="Gill Sans MT" w:hAnsi="Gill Sans MT" w:cs="Arial"/>
          <w:b/>
          <w:sz w:val="24"/>
          <w:szCs w:val="24"/>
          <w:lang w:val="it-IT"/>
        </w:rPr>
        <w:t>4. Incremento del numero</w:t>
      </w:r>
      <w:r w:rsidRPr="00DB0F82">
        <w:rPr>
          <w:rFonts w:ascii="Gill Sans MT" w:hAnsi="Gill Sans MT" w:cs="Arial"/>
          <w:b/>
          <w:sz w:val="24"/>
          <w:szCs w:val="24"/>
          <w:lang w:val="it-IT"/>
        </w:rPr>
        <w:t xml:space="preserve"> di casi di DRG 481 - Trapianto di midollo osseo</w:t>
      </w:r>
      <w:r w:rsidRPr="006F0D25">
        <w:rPr>
          <w:rFonts w:ascii="Gill Sans MT" w:hAnsi="Gill Sans MT" w:cs="Arial"/>
          <w:sz w:val="24"/>
          <w:szCs w:val="24"/>
          <w:lang w:val="it-IT"/>
        </w:rPr>
        <w:t>,</w:t>
      </w:r>
      <w:r>
        <w:rPr>
          <w:rFonts w:ascii="Gill Sans MT" w:hAnsi="Gill Sans MT" w:cs="Arial"/>
          <w:b/>
          <w:sz w:val="24"/>
          <w:szCs w:val="24"/>
          <w:lang w:val="it-IT"/>
        </w:rPr>
        <w:t xml:space="preserve"> </w:t>
      </w:r>
      <w:r>
        <w:rPr>
          <w:rFonts w:ascii="Gill Sans MT" w:hAnsi="Gill Sans MT" w:cs="Arial"/>
          <w:sz w:val="24"/>
          <w:szCs w:val="24"/>
          <w:lang w:val="it-IT"/>
        </w:rPr>
        <w:t xml:space="preserve">i </w:t>
      </w:r>
      <w:r w:rsidRPr="00D5086F">
        <w:rPr>
          <w:rFonts w:ascii="Gill Sans MT" w:hAnsi="Gill Sans MT" w:cs="Arial"/>
          <w:sz w:val="24"/>
          <w:szCs w:val="24"/>
          <w:lang w:val="it-IT"/>
        </w:rPr>
        <w:t>casi passano da 8 a 12</w:t>
      </w:r>
      <w:r>
        <w:rPr>
          <w:rFonts w:ascii="Gill Sans MT" w:hAnsi="Gill Sans MT" w:cs="Arial"/>
          <w:sz w:val="24"/>
          <w:szCs w:val="24"/>
          <w:lang w:val="it-IT"/>
        </w:rPr>
        <w:t xml:space="preserve">. I 4 casi in più nel 2015 portano un </w:t>
      </w:r>
      <w:r w:rsidRPr="00D5086F">
        <w:rPr>
          <w:rFonts w:ascii="Gill Sans MT" w:hAnsi="Gill Sans MT" w:cs="Arial"/>
          <w:sz w:val="24"/>
          <w:szCs w:val="24"/>
          <w:lang w:val="it-IT"/>
        </w:rPr>
        <w:t>inc</w:t>
      </w:r>
      <w:r>
        <w:rPr>
          <w:rFonts w:ascii="Gill Sans MT" w:hAnsi="Gill Sans MT" w:cs="Arial"/>
          <w:sz w:val="24"/>
          <w:szCs w:val="24"/>
          <w:lang w:val="it-IT"/>
        </w:rPr>
        <w:t>remento dei ricavi di circa 68K€.</w:t>
      </w:r>
      <w:r w:rsidRPr="00D5086F">
        <w:rPr>
          <w:rFonts w:ascii="Gill Sans MT" w:hAnsi="Gill Sans MT" w:cs="Arial"/>
          <w:sz w:val="24"/>
          <w:szCs w:val="24"/>
          <w:lang w:val="it-IT"/>
        </w:rPr>
        <w:t xml:space="preserve"> La produzione</w:t>
      </w:r>
      <w:r w:rsidRPr="00DB0F82">
        <w:rPr>
          <w:rFonts w:ascii="Gill Sans MT" w:hAnsi="Gill Sans MT" w:cs="Arial"/>
          <w:sz w:val="24"/>
          <w:szCs w:val="24"/>
          <w:lang w:val="it-IT"/>
        </w:rPr>
        <w:t xml:space="preserve"> cellule dendritiche</w:t>
      </w:r>
      <w:r>
        <w:rPr>
          <w:rFonts w:ascii="Gill Sans MT" w:hAnsi="Gill Sans MT" w:cs="Arial"/>
          <w:sz w:val="24"/>
          <w:szCs w:val="24"/>
          <w:lang w:val="it-IT"/>
        </w:rPr>
        <w:t xml:space="preserve"> è effettuata da</w:t>
      </w:r>
      <w:r w:rsidRPr="00DB0F82">
        <w:rPr>
          <w:rFonts w:ascii="Gill Sans MT" w:hAnsi="Gill Sans MT" w:cs="Arial"/>
          <w:sz w:val="24"/>
          <w:szCs w:val="24"/>
          <w:lang w:val="it-IT"/>
        </w:rPr>
        <w:t>lla UPTC - Unità Produttiva Terapie Cellulari</w:t>
      </w:r>
      <w:r>
        <w:rPr>
          <w:rFonts w:ascii="Gill Sans MT" w:hAnsi="Gill Sans MT" w:cs="Arial"/>
          <w:sz w:val="24"/>
          <w:szCs w:val="24"/>
          <w:lang w:val="it-IT"/>
        </w:rPr>
        <w:t xml:space="preserve">, afferente alla UOC </w:t>
      </w:r>
      <w:r w:rsidRPr="00DB0F82">
        <w:rPr>
          <w:rFonts w:ascii="Gill Sans MT" w:hAnsi="Gill Sans MT" w:cs="Arial"/>
          <w:sz w:val="24"/>
          <w:szCs w:val="24"/>
          <w:lang w:val="it-IT"/>
        </w:rPr>
        <w:t>Neurologia IX - Malattie Cerebrovascolari</w:t>
      </w:r>
      <w:r>
        <w:rPr>
          <w:rFonts w:ascii="Gill Sans MT" w:hAnsi="Gill Sans MT" w:cs="Arial"/>
          <w:sz w:val="24"/>
          <w:szCs w:val="24"/>
          <w:lang w:val="it-IT"/>
        </w:rPr>
        <w:t>, mentre l'</w:t>
      </w:r>
      <w:r w:rsidRPr="00DB0F82">
        <w:rPr>
          <w:rFonts w:ascii="Gill Sans MT" w:hAnsi="Gill Sans MT" w:cs="Arial"/>
          <w:sz w:val="24"/>
          <w:szCs w:val="24"/>
          <w:lang w:val="it-IT"/>
        </w:rPr>
        <w:t xml:space="preserve">inoculo del vaccino </w:t>
      </w:r>
      <w:r>
        <w:rPr>
          <w:rFonts w:ascii="Gill Sans MT" w:hAnsi="Gill Sans MT" w:cs="Arial"/>
          <w:sz w:val="24"/>
          <w:szCs w:val="24"/>
          <w:lang w:val="it-IT"/>
        </w:rPr>
        <w:t>è effettuato della UOC Neurologia VIII - Neuroncologia.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963EFA">
        <w:rPr>
          <w:rFonts w:ascii="Gill Sans MT" w:hAnsi="Gill Sans MT" w:cs="Arial"/>
          <w:b/>
          <w:sz w:val="24"/>
          <w:szCs w:val="24"/>
          <w:lang w:val="it-IT"/>
        </w:rPr>
        <w:t>5</w:t>
      </w:r>
      <w:r>
        <w:rPr>
          <w:rFonts w:ascii="Gill Sans MT" w:hAnsi="Gill Sans MT" w:cs="Arial"/>
          <w:sz w:val="24"/>
          <w:szCs w:val="24"/>
          <w:lang w:val="it-IT"/>
        </w:rPr>
        <w:t xml:space="preserve">. </w:t>
      </w:r>
      <w:r>
        <w:rPr>
          <w:rFonts w:ascii="Gill Sans MT" w:hAnsi="Gill Sans MT" w:cs="Arial"/>
          <w:b/>
          <w:sz w:val="24"/>
          <w:szCs w:val="24"/>
          <w:lang w:val="it-IT"/>
        </w:rPr>
        <w:t>lieve incremento</w:t>
      </w:r>
      <w:r w:rsidRPr="00963EFA">
        <w:rPr>
          <w:rFonts w:ascii="Gill Sans MT" w:hAnsi="Gill Sans MT" w:cs="Arial"/>
          <w:b/>
          <w:sz w:val="24"/>
          <w:szCs w:val="24"/>
          <w:lang w:val="it-IT"/>
        </w:rPr>
        <w:t xml:space="preserve"> della casistica extraregione</w:t>
      </w:r>
      <w:r>
        <w:rPr>
          <w:rFonts w:ascii="Gill Sans MT" w:hAnsi="Gill Sans MT" w:cs="Arial"/>
          <w:b/>
          <w:sz w:val="24"/>
          <w:szCs w:val="24"/>
          <w:lang w:val="it-IT"/>
        </w:rPr>
        <w:t xml:space="preserve"> </w:t>
      </w:r>
      <w:r w:rsidRPr="00963EFA">
        <w:rPr>
          <w:rFonts w:ascii="Gill Sans MT" w:hAnsi="Gill Sans MT" w:cs="Arial"/>
          <w:sz w:val="24"/>
          <w:szCs w:val="24"/>
          <w:lang w:val="it-IT"/>
        </w:rPr>
        <w:t>(54.50%</w:t>
      </w:r>
      <w:r>
        <w:rPr>
          <w:rFonts w:ascii="Gill Sans MT" w:hAnsi="Gill Sans MT" w:cs="Arial"/>
          <w:sz w:val="24"/>
          <w:szCs w:val="24"/>
          <w:lang w:val="it-IT"/>
        </w:rPr>
        <w:t xml:space="preserve"> nel 2015</w:t>
      </w:r>
      <w:r w:rsidRPr="00963EFA">
        <w:rPr>
          <w:rFonts w:ascii="Gill Sans MT" w:hAnsi="Gill Sans MT" w:cs="Arial"/>
          <w:sz w:val="24"/>
          <w:szCs w:val="24"/>
          <w:lang w:val="it-IT"/>
        </w:rPr>
        <w:t>),</w:t>
      </w:r>
      <w:r>
        <w:rPr>
          <w:rFonts w:ascii="Gill Sans MT" w:hAnsi="Gill Sans MT" w:cs="Arial"/>
          <w:sz w:val="24"/>
          <w:szCs w:val="24"/>
          <w:lang w:val="it-IT"/>
        </w:rPr>
        <w:t xml:space="preserve"> indice della forte attrattività che continua ad esercitare la Fondazione.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</w:p>
    <w:p w:rsidR="004D7B0A" w:rsidRPr="000C5556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</w:p>
    <w:p w:rsidR="004D7B0A" w:rsidRPr="00521A58" w:rsidRDefault="004D7B0A" w:rsidP="004D7B0A">
      <w:pPr>
        <w:spacing w:line="360" w:lineRule="auto"/>
        <w:jc w:val="both"/>
        <w:rPr>
          <w:rFonts w:ascii="Gill Sans MT" w:hAnsi="Gill Sans MT" w:cs="Arial"/>
          <w:b/>
          <w:i/>
          <w:sz w:val="24"/>
          <w:szCs w:val="24"/>
          <w:lang w:val="it-IT"/>
        </w:rPr>
      </w:pPr>
      <w:r w:rsidRPr="00521A58">
        <w:rPr>
          <w:rFonts w:ascii="Gill Sans MT" w:hAnsi="Gill Sans MT" w:cs="Arial"/>
          <w:b/>
          <w:i/>
          <w:sz w:val="24"/>
          <w:szCs w:val="24"/>
          <w:lang w:val="it-IT"/>
        </w:rPr>
        <w:lastRenderedPageBreak/>
        <w:t xml:space="preserve">PRESTAZIONI </w:t>
      </w:r>
      <w:r w:rsidR="00F579F0">
        <w:rPr>
          <w:rFonts w:ascii="Gill Sans MT" w:hAnsi="Gill Sans MT" w:cs="Arial"/>
          <w:b/>
          <w:i/>
          <w:sz w:val="24"/>
          <w:szCs w:val="24"/>
          <w:lang w:val="it-IT"/>
        </w:rPr>
        <w:t xml:space="preserve"> SPECIALISTICA AMBULATORIALE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>
        <w:rPr>
          <w:rFonts w:ascii="Gill Sans MT" w:hAnsi="Gill Sans MT" w:cs="Arial"/>
          <w:sz w:val="24"/>
          <w:szCs w:val="24"/>
          <w:lang w:val="it-IT"/>
        </w:rPr>
        <w:t xml:space="preserve">Nel 2015 rispetto al 2014 </w:t>
      </w:r>
      <w:r w:rsidRPr="00963EFA">
        <w:rPr>
          <w:rFonts w:ascii="Gill Sans MT" w:hAnsi="Gill Sans MT" w:cs="Arial"/>
          <w:b/>
          <w:sz w:val="24"/>
          <w:szCs w:val="24"/>
          <w:lang w:val="it-IT"/>
        </w:rPr>
        <w:t>aumentano</w:t>
      </w:r>
      <w:r>
        <w:rPr>
          <w:rFonts w:ascii="Gill Sans MT" w:hAnsi="Gill Sans MT" w:cs="Arial"/>
          <w:sz w:val="24"/>
          <w:szCs w:val="24"/>
          <w:lang w:val="it-IT"/>
        </w:rPr>
        <w:t xml:space="preserve"> i </w:t>
      </w:r>
      <w:r w:rsidRPr="00963EFA">
        <w:rPr>
          <w:rFonts w:ascii="Gill Sans MT" w:hAnsi="Gill Sans MT" w:cs="Arial"/>
          <w:b/>
          <w:sz w:val="24"/>
          <w:szCs w:val="24"/>
          <w:lang w:val="it-IT"/>
        </w:rPr>
        <w:t xml:space="preserve">ricavi </w:t>
      </w:r>
      <w:r>
        <w:rPr>
          <w:rFonts w:ascii="Gill Sans MT" w:hAnsi="Gill Sans MT" w:cs="Arial"/>
          <w:b/>
          <w:sz w:val="24"/>
          <w:szCs w:val="24"/>
          <w:lang w:val="it-IT"/>
        </w:rPr>
        <w:t xml:space="preserve">da </w:t>
      </w:r>
      <w:r w:rsidRPr="00963EFA">
        <w:rPr>
          <w:rFonts w:ascii="Gill Sans MT" w:hAnsi="Gill Sans MT" w:cs="Arial"/>
          <w:b/>
          <w:sz w:val="24"/>
          <w:szCs w:val="24"/>
          <w:lang w:val="it-IT"/>
        </w:rPr>
        <w:t xml:space="preserve">prestazioni di specialistica ambulatoriale </w:t>
      </w:r>
      <w:r>
        <w:rPr>
          <w:rFonts w:ascii="Gill Sans MT" w:hAnsi="Gill Sans MT" w:cs="Arial"/>
          <w:sz w:val="24"/>
          <w:szCs w:val="24"/>
          <w:lang w:val="it-IT"/>
        </w:rPr>
        <w:t>di 350K€ in quanto rispetto allo scorso anno sono aumentati prevalentemente i ricavi da pacchetti Macro Attività Complessa (MAC) e gli esami dell'area di genetica.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b/>
          <w:sz w:val="24"/>
          <w:szCs w:val="24"/>
          <w:lang w:val="it-IT"/>
        </w:rPr>
      </w:pPr>
      <w:r w:rsidRPr="00EB310F">
        <w:rPr>
          <w:rFonts w:ascii="Gill Sans MT" w:hAnsi="Gill Sans MT" w:cs="Arial"/>
          <w:b/>
          <w:sz w:val="24"/>
          <w:szCs w:val="24"/>
          <w:lang w:val="it-IT"/>
        </w:rPr>
        <w:t>VISITE</w:t>
      </w:r>
      <w:r>
        <w:rPr>
          <w:rFonts w:ascii="Gill Sans MT" w:hAnsi="Gill Sans MT" w:cs="Arial"/>
          <w:b/>
          <w:sz w:val="24"/>
          <w:szCs w:val="24"/>
          <w:lang w:val="it-IT"/>
        </w:rPr>
        <w:t xml:space="preserve">: </w:t>
      </w:r>
      <w:r w:rsidRPr="00737698">
        <w:rPr>
          <w:rFonts w:ascii="Gill Sans MT" w:hAnsi="Gill Sans MT" w:cs="Arial"/>
          <w:sz w:val="24"/>
          <w:szCs w:val="24"/>
          <w:lang w:val="it-IT"/>
        </w:rPr>
        <w:t>n</w:t>
      </w:r>
      <w:r>
        <w:rPr>
          <w:rFonts w:ascii="Gill Sans MT" w:hAnsi="Gill Sans MT" w:cs="Arial"/>
          <w:sz w:val="24"/>
          <w:szCs w:val="24"/>
          <w:lang w:val="it-IT"/>
        </w:rPr>
        <w:t>el 2015</w:t>
      </w:r>
      <w:r w:rsidRPr="00737698">
        <w:rPr>
          <w:rFonts w:ascii="Gill Sans MT" w:hAnsi="Gill Sans MT" w:cs="Arial"/>
          <w:sz w:val="24"/>
          <w:szCs w:val="24"/>
          <w:lang w:val="it-IT"/>
        </w:rPr>
        <w:t xml:space="preserve"> le visite </w:t>
      </w:r>
      <w:r>
        <w:rPr>
          <w:rFonts w:ascii="Gill Sans MT" w:hAnsi="Gill Sans MT" w:cs="Arial"/>
          <w:sz w:val="24"/>
          <w:szCs w:val="24"/>
          <w:lang w:val="it-IT"/>
        </w:rPr>
        <w:t xml:space="preserve">ambulatoriali </w:t>
      </w:r>
      <w:r w:rsidRPr="00737698">
        <w:rPr>
          <w:rFonts w:ascii="Gill Sans MT" w:hAnsi="Gill Sans MT" w:cs="Arial"/>
          <w:sz w:val="24"/>
          <w:szCs w:val="24"/>
          <w:lang w:val="it-IT"/>
        </w:rPr>
        <w:t xml:space="preserve">effettuate in Istituto, pari a </w:t>
      </w:r>
      <w:r>
        <w:rPr>
          <w:rFonts w:ascii="Gill Sans MT" w:hAnsi="Gill Sans MT" w:cs="Arial"/>
          <w:sz w:val="24"/>
          <w:szCs w:val="24"/>
          <w:lang w:val="it-IT"/>
        </w:rPr>
        <w:t>44.884 prestazioni, portano un lieve incremento di ricavi (+7K€).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>
        <w:rPr>
          <w:rFonts w:ascii="Gill Sans MT" w:hAnsi="Gill Sans MT" w:cs="Arial"/>
          <w:b/>
          <w:sz w:val="24"/>
          <w:szCs w:val="24"/>
          <w:lang w:val="it-IT"/>
        </w:rPr>
        <w:t xml:space="preserve">ESAMI: </w:t>
      </w:r>
      <w:r>
        <w:rPr>
          <w:rFonts w:ascii="Gill Sans MT" w:hAnsi="Gill Sans MT" w:cs="Arial"/>
          <w:sz w:val="24"/>
          <w:szCs w:val="24"/>
          <w:lang w:val="it-IT"/>
        </w:rPr>
        <w:t>nel 2015 si assiste ad un</w:t>
      </w:r>
      <w:r w:rsidRPr="00737698">
        <w:rPr>
          <w:rFonts w:ascii="Gill Sans MT" w:hAnsi="Gill Sans MT" w:cs="Arial"/>
          <w:sz w:val="24"/>
          <w:szCs w:val="24"/>
          <w:lang w:val="it-IT"/>
        </w:rPr>
        <w:t xml:space="preserve"> </w:t>
      </w:r>
      <w:r>
        <w:rPr>
          <w:rFonts w:ascii="Gill Sans MT" w:hAnsi="Gill Sans MT" w:cs="Arial"/>
          <w:sz w:val="24"/>
          <w:szCs w:val="24"/>
          <w:lang w:val="it-IT"/>
        </w:rPr>
        <w:t>incremento dei ricavi per esami, pari a 222K€ in più rispetto al 2014.</w:t>
      </w:r>
      <w:r w:rsidRPr="00737698">
        <w:rPr>
          <w:rFonts w:ascii="Gill Sans MT" w:hAnsi="Gill Sans MT" w:cs="Arial"/>
          <w:sz w:val="24"/>
          <w:szCs w:val="24"/>
          <w:lang w:val="it-IT"/>
        </w:rPr>
        <w:t xml:space="preserve"> </w:t>
      </w:r>
      <w:r>
        <w:rPr>
          <w:rFonts w:ascii="Gill Sans MT" w:hAnsi="Gill Sans MT" w:cs="Arial"/>
          <w:sz w:val="24"/>
          <w:szCs w:val="24"/>
          <w:lang w:val="it-IT"/>
        </w:rPr>
        <w:t xml:space="preserve">       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480712">
        <w:rPr>
          <w:rFonts w:ascii="Gill Sans MT" w:hAnsi="Gill Sans MT" w:cs="Arial"/>
          <w:sz w:val="24"/>
          <w:szCs w:val="24"/>
          <w:lang w:val="it-IT"/>
        </w:rPr>
        <w:t xml:space="preserve">In tabella </w:t>
      </w:r>
      <w:r>
        <w:rPr>
          <w:rFonts w:ascii="Gill Sans MT" w:hAnsi="Gill Sans MT" w:cs="Arial"/>
          <w:sz w:val="24"/>
          <w:szCs w:val="24"/>
          <w:lang w:val="it-IT"/>
        </w:rPr>
        <w:t xml:space="preserve">1.2 </w:t>
      </w:r>
      <w:r w:rsidRPr="00480712">
        <w:rPr>
          <w:rFonts w:ascii="Gill Sans MT" w:hAnsi="Gill Sans MT" w:cs="Arial"/>
          <w:sz w:val="24"/>
          <w:szCs w:val="24"/>
          <w:lang w:val="it-IT"/>
        </w:rPr>
        <w:t xml:space="preserve">sono </w:t>
      </w:r>
      <w:r>
        <w:rPr>
          <w:rFonts w:ascii="Gill Sans MT" w:hAnsi="Gill Sans MT" w:cs="Arial"/>
          <w:sz w:val="24"/>
          <w:szCs w:val="24"/>
          <w:lang w:val="it-IT"/>
        </w:rPr>
        <w:t>riportate</w:t>
      </w:r>
      <w:r w:rsidRPr="00480712">
        <w:rPr>
          <w:rFonts w:ascii="Gill Sans MT" w:hAnsi="Gill Sans MT" w:cs="Arial"/>
          <w:sz w:val="24"/>
          <w:szCs w:val="24"/>
          <w:lang w:val="it-IT"/>
        </w:rPr>
        <w:t xml:space="preserve"> le prestazioni ambulatorial</w:t>
      </w:r>
      <w:r>
        <w:rPr>
          <w:rFonts w:ascii="Gill Sans MT" w:hAnsi="Gill Sans MT" w:cs="Arial"/>
          <w:sz w:val="24"/>
          <w:szCs w:val="24"/>
          <w:lang w:val="it-IT"/>
        </w:rPr>
        <w:t>i</w:t>
      </w:r>
      <w:r w:rsidRPr="00480712">
        <w:rPr>
          <w:rFonts w:ascii="Gill Sans MT" w:hAnsi="Gill Sans MT" w:cs="Arial"/>
          <w:sz w:val="24"/>
          <w:szCs w:val="24"/>
          <w:lang w:val="it-IT"/>
        </w:rPr>
        <w:t xml:space="preserve"> che hanno registrato un maggiore aumento </w:t>
      </w:r>
      <w:r>
        <w:rPr>
          <w:rFonts w:ascii="Gill Sans MT" w:hAnsi="Gill Sans MT" w:cs="Arial"/>
          <w:sz w:val="24"/>
          <w:szCs w:val="24"/>
          <w:lang w:val="it-IT"/>
        </w:rPr>
        <w:t xml:space="preserve">in termini di ricavi </w:t>
      </w:r>
      <w:r w:rsidRPr="00480712">
        <w:rPr>
          <w:rFonts w:ascii="Gill Sans MT" w:hAnsi="Gill Sans MT" w:cs="Arial"/>
          <w:sz w:val="24"/>
          <w:szCs w:val="24"/>
          <w:lang w:val="it-IT"/>
        </w:rPr>
        <w:t>nell’anno 201</w:t>
      </w:r>
      <w:r>
        <w:rPr>
          <w:rFonts w:ascii="Gill Sans MT" w:hAnsi="Gill Sans MT" w:cs="Arial"/>
          <w:sz w:val="24"/>
          <w:szCs w:val="24"/>
          <w:lang w:val="it-IT"/>
        </w:rPr>
        <w:t xml:space="preserve">5 </w:t>
      </w:r>
      <w:r w:rsidRPr="00480712">
        <w:rPr>
          <w:rFonts w:ascii="Gill Sans MT" w:hAnsi="Gill Sans MT" w:cs="Arial"/>
          <w:sz w:val="24"/>
          <w:szCs w:val="24"/>
          <w:lang w:val="it-IT"/>
        </w:rPr>
        <w:t>rispetto all’anno precedente.</w:t>
      </w:r>
    </w:p>
    <w:p w:rsidR="00EC22EE" w:rsidRDefault="00EC22EE" w:rsidP="004D7B0A">
      <w:pPr>
        <w:spacing w:after="0" w:line="360" w:lineRule="auto"/>
        <w:jc w:val="both"/>
        <w:rPr>
          <w:rFonts w:ascii="Gill Sans MT" w:hAnsi="Gill Sans MT" w:cs="Arial"/>
          <w:b/>
          <w:sz w:val="24"/>
          <w:szCs w:val="24"/>
          <w:lang w:val="it-IT"/>
        </w:rPr>
      </w:pPr>
    </w:p>
    <w:p w:rsidR="004D7B0A" w:rsidRPr="00441E07" w:rsidRDefault="004D7B0A" w:rsidP="004D7B0A">
      <w:pPr>
        <w:spacing w:after="0" w:line="360" w:lineRule="auto"/>
        <w:jc w:val="both"/>
        <w:rPr>
          <w:rFonts w:ascii="Gill Sans MT" w:hAnsi="Gill Sans MT" w:cs="Arial"/>
          <w:b/>
          <w:sz w:val="24"/>
          <w:szCs w:val="24"/>
          <w:lang w:val="it-IT"/>
        </w:rPr>
      </w:pPr>
      <w:r w:rsidRPr="00441E07">
        <w:rPr>
          <w:rFonts w:ascii="Gill Sans MT" w:hAnsi="Gill Sans MT" w:cs="Arial"/>
          <w:b/>
          <w:sz w:val="24"/>
          <w:szCs w:val="24"/>
          <w:lang w:val="it-IT"/>
        </w:rPr>
        <w:t>TABELLA 1.</w:t>
      </w:r>
      <w:r>
        <w:rPr>
          <w:rFonts w:ascii="Gill Sans MT" w:hAnsi="Gill Sans MT" w:cs="Arial"/>
          <w:b/>
          <w:sz w:val="24"/>
          <w:szCs w:val="24"/>
          <w:lang w:val="it-IT"/>
        </w:rPr>
        <w:t>2</w:t>
      </w:r>
      <w:r w:rsidRPr="00441E07">
        <w:rPr>
          <w:rFonts w:ascii="Gill Sans MT" w:hAnsi="Gill Sans MT" w:cs="Arial"/>
          <w:b/>
          <w:sz w:val="24"/>
          <w:szCs w:val="24"/>
          <w:lang w:val="it-IT"/>
        </w:rPr>
        <w:t xml:space="preserve"> –</w:t>
      </w:r>
      <w:r>
        <w:rPr>
          <w:rFonts w:ascii="Gill Sans MT" w:hAnsi="Gill Sans MT" w:cs="Arial"/>
          <w:b/>
          <w:sz w:val="24"/>
          <w:szCs w:val="24"/>
          <w:lang w:val="it-IT"/>
        </w:rPr>
        <w:t xml:space="preserve"> Prestazioni ambulatoriali con aumento maggiore nel </w:t>
      </w:r>
      <w:r w:rsidRPr="00441E07">
        <w:rPr>
          <w:rFonts w:ascii="Gill Sans MT" w:hAnsi="Gill Sans MT" w:cs="Arial"/>
          <w:b/>
          <w:sz w:val="24"/>
          <w:szCs w:val="24"/>
          <w:lang w:val="it-IT"/>
        </w:rPr>
        <w:t>201</w:t>
      </w:r>
      <w:r>
        <w:rPr>
          <w:rFonts w:ascii="Gill Sans MT" w:hAnsi="Gill Sans MT" w:cs="Arial"/>
          <w:b/>
          <w:sz w:val="24"/>
          <w:szCs w:val="24"/>
          <w:lang w:val="it-IT"/>
        </w:rPr>
        <w:t>5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>
        <w:rPr>
          <w:noProof/>
          <w:lang w:val="it-IT"/>
        </w:rPr>
        <w:drawing>
          <wp:inline distT="0" distB="0" distL="0" distR="0" wp14:anchorId="643B570C" wp14:editId="538764A3">
            <wp:extent cx="6114415" cy="2719070"/>
            <wp:effectExtent l="0" t="0" r="63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b/>
          <w:sz w:val="24"/>
          <w:szCs w:val="24"/>
          <w:lang w:val="it-IT"/>
        </w:rPr>
      </w:pP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 w:rsidRPr="00737698">
        <w:rPr>
          <w:rFonts w:ascii="Gill Sans MT" w:hAnsi="Gill Sans MT" w:cs="Arial"/>
          <w:b/>
          <w:sz w:val="24"/>
          <w:szCs w:val="24"/>
          <w:lang w:val="it-IT"/>
        </w:rPr>
        <w:t xml:space="preserve">MAC: </w:t>
      </w:r>
      <w:r>
        <w:rPr>
          <w:rFonts w:ascii="Gill Sans MT" w:hAnsi="Gill Sans MT" w:cs="Arial"/>
          <w:sz w:val="24"/>
          <w:szCs w:val="24"/>
          <w:lang w:val="it-IT"/>
        </w:rPr>
        <w:t>in aumento rispetto al 2014 sia i volumi (+336 Pacchetti MAC) sia i relativi ricavi (+120K€).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sz w:val="24"/>
          <w:szCs w:val="24"/>
          <w:lang w:val="it-IT"/>
        </w:rPr>
      </w:pPr>
      <w:r>
        <w:rPr>
          <w:rFonts w:ascii="Gill Sans MT" w:hAnsi="Gill Sans MT" w:cs="Arial"/>
          <w:sz w:val="24"/>
          <w:szCs w:val="24"/>
          <w:lang w:val="it-IT"/>
        </w:rPr>
        <w:t>In Tabella 1.3 vengono riportati i MAC che hanno subito gli incrementi maggiori rispetto al 2014, MAC02 erogati prevalentemente dalla UOC Neurologia VIII - Neuroncologia e MAC10  erogati dalla UOC Neurologia IV - Neuroimmunologia e Malattie Neuromuscolari.</w:t>
      </w:r>
    </w:p>
    <w:p w:rsidR="004D7B0A" w:rsidRDefault="004D7B0A">
      <w:pPr>
        <w:spacing w:after="200" w:line="276" w:lineRule="auto"/>
        <w:rPr>
          <w:rFonts w:ascii="Gill Sans MT" w:hAnsi="Gill Sans MT" w:cs="Arial"/>
          <w:b/>
          <w:sz w:val="24"/>
          <w:szCs w:val="24"/>
          <w:lang w:val="it-IT"/>
        </w:rPr>
      </w:pPr>
      <w:r>
        <w:rPr>
          <w:rFonts w:ascii="Gill Sans MT" w:hAnsi="Gill Sans MT" w:cs="Arial"/>
          <w:b/>
          <w:sz w:val="24"/>
          <w:szCs w:val="24"/>
          <w:lang w:val="it-IT"/>
        </w:rPr>
        <w:br w:type="page"/>
      </w:r>
    </w:p>
    <w:p w:rsidR="004D7B0A" w:rsidRPr="00BB3988" w:rsidRDefault="004D7B0A" w:rsidP="004D7B0A">
      <w:pPr>
        <w:spacing w:line="360" w:lineRule="auto"/>
        <w:jc w:val="both"/>
        <w:rPr>
          <w:rFonts w:ascii="Gill Sans MT" w:hAnsi="Gill Sans MT" w:cs="Arial"/>
          <w:b/>
          <w:sz w:val="24"/>
          <w:szCs w:val="24"/>
          <w:lang w:val="it-IT"/>
        </w:rPr>
      </w:pPr>
      <w:r>
        <w:rPr>
          <w:rFonts w:ascii="Gill Sans MT" w:hAnsi="Gill Sans MT" w:cs="Arial"/>
          <w:b/>
          <w:sz w:val="24"/>
          <w:szCs w:val="24"/>
          <w:lang w:val="it-IT"/>
        </w:rPr>
        <w:lastRenderedPageBreak/>
        <w:t>T</w:t>
      </w:r>
      <w:r w:rsidRPr="00EA219B">
        <w:rPr>
          <w:rFonts w:ascii="Gill Sans MT" w:hAnsi="Gill Sans MT" w:cs="Arial"/>
          <w:b/>
          <w:sz w:val="24"/>
          <w:szCs w:val="24"/>
          <w:lang w:val="it-IT"/>
        </w:rPr>
        <w:t>ABELLA 1.</w:t>
      </w:r>
      <w:r>
        <w:rPr>
          <w:rFonts w:ascii="Gill Sans MT" w:hAnsi="Gill Sans MT" w:cs="Arial"/>
          <w:b/>
          <w:sz w:val="24"/>
          <w:szCs w:val="24"/>
          <w:lang w:val="it-IT"/>
        </w:rPr>
        <w:t>3 – Principali MAC in aumento - Anno 2014-2015</w:t>
      </w:r>
    </w:p>
    <w:p w:rsidR="004D7B0A" w:rsidRDefault="004D7B0A" w:rsidP="004D7B0A">
      <w:pPr>
        <w:spacing w:line="360" w:lineRule="auto"/>
        <w:jc w:val="both"/>
        <w:rPr>
          <w:rFonts w:ascii="Gill Sans MT" w:hAnsi="Gill Sans MT" w:cs="Arial"/>
          <w:b/>
          <w:sz w:val="24"/>
          <w:szCs w:val="24"/>
          <w:lang w:val="it-IT"/>
        </w:rPr>
      </w:pPr>
      <w:r>
        <w:rPr>
          <w:noProof/>
          <w:lang w:val="it-IT"/>
        </w:rPr>
        <w:drawing>
          <wp:inline distT="0" distB="0" distL="0" distR="0" wp14:anchorId="0C2CB608" wp14:editId="2A500B34">
            <wp:extent cx="6177915" cy="22821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0A" w:rsidRDefault="004D7B0A" w:rsidP="004D7B0A">
      <w:pPr>
        <w:spacing w:line="360" w:lineRule="auto"/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5C477D" w:rsidRDefault="004D7B0A" w:rsidP="005C477D">
      <w:pPr>
        <w:spacing w:line="360" w:lineRule="auto"/>
        <w:jc w:val="both"/>
        <w:rPr>
          <w:rFonts w:ascii="Gill Sans MT" w:hAnsi="Gill Sans MT"/>
          <w:b/>
          <w:sz w:val="24"/>
          <w:szCs w:val="24"/>
          <w:lang w:val="it-IT"/>
        </w:rPr>
      </w:pPr>
      <w:r w:rsidRPr="001C12B3">
        <w:rPr>
          <w:sz w:val="22"/>
          <w:szCs w:val="22"/>
        </w:rPr>
        <w:fldChar w:fldCharType="end"/>
      </w:r>
      <w:r w:rsidR="005C477D" w:rsidRPr="005C477D">
        <w:rPr>
          <w:rFonts w:ascii="Gill Sans MT" w:hAnsi="Gill Sans MT"/>
          <w:b/>
          <w:sz w:val="24"/>
          <w:szCs w:val="24"/>
          <w:lang w:val="it-IT"/>
        </w:rPr>
        <w:t xml:space="preserve"> </w:t>
      </w:r>
      <w:r w:rsidR="005C477D">
        <w:rPr>
          <w:rFonts w:ascii="Gill Sans MT" w:hAnsi="Gill Sans MT"/>
          <w:b/>
          <w:sz w:val="24"/>
          <w:szCs w:val="24"/>
          <w:lang w:val="it-IT"/>
        </w:rPr>
        <w:t>MONITORAGGIO OBIETTIVI AZIENDALI E DI BUDGET ANNO 2015</w:t>
      </w:r>
    </w:p>
    <w:p w:rsidR="005C477D" w:rsidRDefault="005C477D" w:rsidP="005C477D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/>
          <w:sz w:val="22"/>
          <w:szCs w:val="22"/>
          <w:lang w:val="it-IT"/>
        </w:rPr>
      </w:pPr>
      <w:r>
        <w:rPr>
          <w:rFonts w:ascii="Gill Sans MT" w:hAnsi="Gill Sans MT"/>
          <w:sz w:val="22"/>
          <w:szCs w:val="22"/>
          <w:lang w:val="it-IT"/>
        </w:rPr>
        <w:t xml:space="preserve">Nel 2015 l’andamento dell’attività è stato monitorato mensilmente attraverso la distribuzione mensile dei dati di produzione e l’organizzazione di incontri periodici tra la Direzione e i responsabili delle singole UU.OO. Sanitarie. </w:t>
      </w:r>
    </w:p>
    <w:p w:rsidR="005C477D" w:rsidRDefault="005C477D" w:rsidP="005C477D">
      <w:pPr>
        <w:spacing w:after="0" w:line="360" w:lineRule="auto"/>
        <w:jc w:val="both"/>
        <w:rPr>
          <w:rFonts w:ascii="Gill Sans MT" w:hAnsi="Gill Sans MT"/>
          <w:sz w:val="22"/>
          <w:szCs w:val="22"/>
          <w:lang w:val="it-IT"/>
        </w:rPr>
      </w:pPr>
      <w:r>
        <w:rPr>
          <w:rFonts w:ascii="Gill Sans MT" w:hAnsi="Gill Sans MT"/>
          <w:sz w:val="22"/>
          <w:szCs w:val="22"/>
          <w:lang w:val="it-IT"/>
        </w:rPr>
        <w:t>Inoltre trimestralmente sono stati predisposti e distribuiti report di dettaglio sul consumo dei dispositivi medici per Unità Operativa.</w:t>
      </w:r>
    </w:p>
    <w:p w:rsidR="005C477D" w:rsidRDefault="005C477D" w:rsidP="005C477D">
      <w:pPr>
        <w:spacing w:after="0" w:line="360" w:lineRule="auto"/>
        <w:jc w:val="both"/>
        <w:rPr>
          <w:rFonts w:ascii="Gill Sans MT" w:hAnsi="Gill Sans MT"/>
          <w:sz w:val="22"/>
          <w:szCs w:val="22"/>
          <w:lang w:val="it-IT"/>
        </w:rPr>
      </w:pPr>
      <w:r>
        <w:rPr>
          <w:rFonts w:ascii="Gill Sans MT" w:hAnsi="Gill Sans MT"/>
          <w:sz w:val="22"/>
          <w:szCs w:val="22"/>
          <w:lang w:val="it-IT"/>
        </w:rPr>
        <w:t>Nel mese di Ottobre 2015 è stato effettuato il monitoraggio semestrale dello stato di avanzamento degli Obiettivi aziendali e di Budget 2015 (Delibera del Direttore Generale n° 318 del 20.7.2015) per tutte le Unità Operative/Servizi della Fondazione.</w:t>
      </w:r>
    </w:p>
    <w:p w:rsidR="005C477D" w:rsidRDefault="005C477D" w:rsidP="005C477D">
      <w:pPr>
        <w:spacing w:after="0" w:line="360" w:lineRule="auto"/>
        <w:jc w:val="both"/>
        <w:rPr>
          <w:rFonts w:ascii="Gill Sans MT" w:hAnsi="Gill Sans MT"/>
          <w:sz w:val="22"/>
          <w:szCs w:val="22"/>
          <w:lang w:val="it-IT"/>
        </w:rPr>
      </w:pPr>
      <w:r>
        <w:rPr>
          <w:rFonts w:ascii="Gill Sans MT" w:hAnsi="Gill Sans MT"/>
          <w:sz w:val="22"/>
          <w:szCs w:val="22"/>
          <w:lang w:val="it-IT"/>
        </w:rPr>
        <w:t>Nel mese di Aprile 2016 la documentazione relativa alla rendicontazione finale degli Obiettivi di Budget 2015 delle U.O/Servizi della Fondazione è stata inviata al Nucleo di Valutazione delle Prestazioni il quale ha provveduto a valutare per ciascuna U.O/Servizio il raggiungimento degli obiettivi assegnati relativi all’anno 2015 (Delibera del Direttore Generale n° 132 del 27/04/2016).</w:t>
      </w:r>
    </w:p>
    <w:p w:rsidR="00037215" w:rsidRPr="005C477D" w:rsidRDefault="00037215" w:rsidP="004D7B0A">
      <w:pPr>
        <w:rPr>
          <w:lang w:val="it-IT"/>
        </w:rPr>
      </w:pPr>
    </w:p>
    <w:sectPr w:rsidR="00037215" w:rsidRPr="005C4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4D7B0A"/>
    <w:rsid w:val="00002E76"/>
    <w:rsid w:val="00013139"/>
    <w:rsid w:val="000135B3"/>
    <w:rsid w:val="00013E21"/>
    <w:rsid w:val="0002538F"/>
    <w:rsid w:val="00037215"/>
    <w:rsid w:val="00037B06"/>
    <w:rsid w:val="00041137"/>
    <w:rsid w:val="00044669"/>
    <w:rsid w:val="00050019"/>
    <w:rsid w:val="0005021B"/>
    <w:rsid w:val="0006143D"/>
    <w:rsid w:val="00061CCE"/>
    <w:rsid w:val="00063778"/>
    <w:rsid w:val="000818B0"/>
    <w:rsid w:val="00082775"/>
    <w:rsid w:val="00093E7E"/>
    <w:rsid w:val="000A3B99"/>
    <w:rsid w:val="000B2D6D"/>
    <w:rsid w:val="000B45BA"/>
    <w:rsid w:val="000B7280"/>
    <w:rsid w:val="000C2B82"/>
    <w:rsid w:val="000C32D3"/>
    <w:rsid w:val="000C5ED1"/>
    <w:rsid w:val="000C723C"/>
    <w:rsid w:val="000D361E"/>
    <w:rsid w:val="000E4DCC"/>
    <w:rsid w:val="000E6AAA"/>
    <w:rsid w:val="000F17F3"/>
    <w:rsid w:val="000F27B1"/>
    <w:rsid w:val="000F31A6"/>
    <w:rsid w:val="000F50ED"/>
    <w:rsid w:val="001223AB"/>
    <w:rsid w:val="00125320"/>
    <w:rsid w:val="001332EE"/>
    <w:rsid w:val="00141389"/>
    <w:rsid w:val="00141F39"/>
    <w:rsid w:val="00150A98"/>
    <w:rsid w:val="00163483"/>
    <w:rsid w:val="0016674C"/>
    <w:rsid w:val="001775E1"/>
    <w:rsid w:val="001779B1"/>
    <w:rsid w:val="00181637"/>
    <w:rsid w:val="00186EAD"/>
    <w:rsid w:val="0019186F"/>
    <w:rsid w:val="00194169"/>
    <w:rsid w:val="001A2D3A"/>
    <w:rsid w:val="001B1500"/>
    <w:rsid w:val="001B3F88"/>
    <w:rsid w:val="001B6FE7"/>
    <w:rsid w:val="001C188E"/>
    <w:rsid w:val="001D302F"/>
    <w:rsid w:val="001D3BA9"/>
    <w:rsid w:val="001D54F9"/>
    <w:rsid w:val="001D7973"/>
    <w:rsid w:val="00200922"/>
    <w:rsid w:val="00210EA5"/>
    <w:rsid w:val="002137C8"/>
    <w:rsid w:val="002254C0"/>
    <w:rsid w:val="00230A7E"/>
    <w:rsid w:val="002338BF"/>
    <w:rsid w:val="0024271F"/>
    <w:rsid w:val="0025279A"/>
    <w:rsid w:val="00253BB6"/>
    <w:rsid w:val="002552E0"/>
    <w:rsid w:val="00255349"/>
    <w:rsid w:val="00261ACF"/>
    <w:rsid w:val="00265B98"/>
    <w:rsid w:val="00267007"/>
    <w:rsid w:val="00273E10"/>
    <w:rsid w:val="002753D0"/>
    <w:rsid w:val="002900D1"/>
    <w:rsid w:val="00293EEB"/>
    <w:rsid w:val="002B177B"/>
    <w:rsid w:val="002B1A3F"/>
    <w:rsid w:val="002C45C6"/>
    <w:rsid w:val="002C68B2"/>
    <w:rsid w:val="002D3A45"/>
    <w:rsid w:val="002D51B7"/>
    <w:rsid w:val="002E04A7"/>
    <w:rsid w:val="002E6AA6"/>
    <w:rsid w:val="002F3DC9"/>
    <w:rsid w:val="002F66DF"/>
    <w:rsid w:val="002F7D8B"/>
    <w:rsid w:val="00301C33"/>
    <w:rsid w:val="00315186"/>
    <w:rsid w:val="00326C05"/>
    <w:rsid w:val="00335F5C"/>
    <w:rsid w:val="003457AE"/>
    <w:rsid w:val="00353AA4"/>
    <w:rsid w:val="003544B7"/>
    <w:rsid w:val="0035696F"/>
    <w:rsid w:val="00365AEB"/>
    <w:rsid w:val="003672FD"/>
    <w:rsid w:val="0037109E"/>
    <w:rsid w:val="00372D6E"/>
    <w:rsid w:val="00372EB0"/>
    <w:rsid w:val="0037304F"/>
    <w:rsid w:val="0037473E"/>
    <w:rsid w:val="00374755"/>
    <w:rsid w:val="00377CB0"/>
    <w:rsid w:val="00377FBE"/>
    <w:rsid w:val="00394681"/>
    <w:rsid w:val="00395EEF"/>
    <w:rsid w:val="003A138A"/>
    <w:rsid w:val="003A3C3F"/>
    <w:rsid w:val="003B2556"/>
    <w:rsid w:val="003B6082"/>
    <w:rsid w:val="003C4559"/>
    <w:rsid w:val="003C51EA"/>
    <w:rsid w:val="003D0DA6"/>
    <w:rsid w:val="003D235C"/>
    <w:rsid w:val="003D72EC"/>
    <w:rsid w:val="003E2C26"/>
    <w:rsid w:val="003E7EAA"/>
    <w:rsid w:val="003F6944"/>
    <w:rsid w:val="0040434D"/>
    <w:rsid w:val="00427A9D"/>
    <w:rsid w:val="00432CDA"/>
    <w:rsid w:val="00433C43"/>
    <w:rsid w:val="00436279"/>
    <w:rsid w:val="00437A6E"/>
    <w:rsid w:val="0044356E"/>
    <w:rsid w:val="00445DFB"/>
    <w:rsid w:val="004514C6"/>
    <w:rsid w:val="00456431"/>
    <w:rsid w:val="00461E68"/>
    <w:rsid w:val="004649E1"/>
    <w:rsid w:val="00472760"/>
    <w:rsid w:val="00475079"/>
    <w:rsid w:val="004844ED"/>
    <w:rsid w:val="0049497F"/>
    <w:rsid w:val="00495CBE"/>
    <w:rsid w:val="0049686D"/>
    <w:rsid w:val="004977F0"/>
    <w:rsid w:val="004B1956"/>
    <w:rsid w:val="004B50DA"/>
    <w:rsid w:val="004B5EC0"/>
    <w:rsid w:val="004C063C"/>
    <w:rsid w:val="004C39AE"/>
    <w:rsid w:val="004D624E"/>
    <w:rsid w:val="004D6750"/>
    <w:rsid w:val="004D73C2"/>
    <w:rsid w:val="004D7B0A"/>
    <w:rsid w:val="004E14D8"/>
    <w:rsid w:val="004E18BB"/>
    <w:rsid w:val="004E74DE"/>
    <w:rsid w:val="004E7D00"/>
    <w:rsid w:val="004F3A66"/>
    <w:rsid w:val="00501D72"/>
    <w:rsid w:val="00507EB2"/>
    <w:rsid w:val="005206C8"/>
    <w:rsid w:val="00523AA6"/>
    <w:rsid w:val="00525389"/>
    <w:rsid w:val="00527361"/>
    <w:rsid w:val="005340D4"/>
    <w:rsid w:val="00535C48"/>
    <w:rsid w:val="0054229E"/>
    <w:rsid w:val="00546A1F"/>
    <w:rsid w:val="00563CA7"/>
    <w:rsid w:val="00567889"/>
    <w:rsid w:val="00573859"/>
    <w:rsid w:val="005744B7"/>
    <w:rsid w:val="00583178"/>
    <w:rsid w:val="0058734B"/>
    <w:rsid w:val="00587B65"/>
    <w:rsid w:val="005A3734"/>
    <w:rsid w:val="005A3B14"/>
    <w:rsid w:val="005A6C85"/>
    <w:rsid w:val="005B1040"/>
    <w:rsid w:val="005B387F"/>
    <w:rsid w:val="005B4031"/>
    <w:rsid w:val="005C247A"/>
    <w:rsid w:val="005C477D"/>
    <w:rsid w:val="005D0609"/>
    <w:rsid w:val="005D2852"/>
    <w:rsid w:val="005D3A00"/>
    <w:rsid w:val="005E374A"/>
    <w:rsid w:val="005E59FC"/>
    <w:rsid w:val="005E66E7"/>
    <w:rsid w:val="005F2502"/>
    <w:rsid w:val="005F4278"/>
    <w:rsid w:val="006063D6"/>
    <w:rsid w:val="00610659"/>
    <w:rsid w:val="0061248C"/>
    <w:rsid w:val="00612E53"/>
    <w:rsid w:val="00613990"/>
    <w:rsid w:val="00614969"/>
    <w:rsid w:val="00615AE9"/>
    <w:rsid w:val="00640D47"/>
    <w:rsid w:val="0064245A"/>
    <w:rsid w:val="0065102B"/>
    <w:rsid w:val="006527F8"/>
    <w:rsid w:val="00654E2D"/>
    <w:rsid w:val="0066034F"/>
    <w:rsid w:val="00662460"/>
    <w:rsid w:val="00670BC3"/>
    <w:rsid w:val="00671F41"/>
    <w:rsid w:val="006756C1"/>
    <w:rsid w:val="00687CE3"/>
    <w:rsid w:val="00691A48"/>
    <w:rsid w:val="006968EC"/>
    <w:rsid w:val="006A14C6"/>
    <w:rsid w:val="006A1DDA"/>
    <w:rsid w:val="006A2C40"/>
    <w:rsid w:val="006A47BD"/>
    <w:rsid w:val="006A728F"/>
    <w:rsid w:val="006B11B3"/>
    <w:rsid w:val="006C3AFF"/>
    <w:rsid w:val="006C4BD7"/>
    <w:rsid w:val="006C684A"/>
    <w:rsid w:val="006C70C8"/>
    <w:rsid w:val="006D0881"/>
    <w:rsid w:val="006D1335"/>
    <w:rsid w:val="006E366C"/>
    <w:rsid w:val="006E43CC"/>
    <w:rsid w:val="006F4501"/>
    <w:rsid w:val="007001BA"/>
    <w:rsid w:val="007010DC"/>
    <w:rsid w:val="00702C3B"/>
    <w:rsid w:val="00706818"/>
    <w:rsid w:val="00714277"/>
    <w:rsid w:val="00723C64"/>
    <w:rsid w:val="0072752E"/>
    <w:rsid w:val="00733610"/>
    <w:rsid w:val="00735516"/>
    <w:rsid w:val="00737176"/>
    <w:rsid w:val="00742D45"/>
    <w:rsid w:val="007446E3"/>
    <w:rsid w:val="0075059F"/>
    <w:rsid w:val="007530CB"/>
    <w:rsid w:val="0076169B"/>
    <w:rsid w:val="007673F8"/>
    <w:rsid w:val="00771CC4"/>
    <w:rsid w:val="007761E5"/>
    <w:rsid w:val="00777021"/>
    <w:rsid w:val="007838D5"/>
    <w:rsid w:val="00784542"/>
    <w:rsid w:val="00790DCC"/>
    <w:rsid w:val="007951EE"/>
    <w:rsid w:val="007B18BB"/>
    <w:rsid w:val="007B6CBC"/>
    <w:rsid w:val="007C0DCF"/>
    <w:rsid w:val="007C4D7C"/>
    <w:rsid w:val="007D1B81"/>
    <w:rsid w:val="007E0A68"/>
    <w:rsid w:val="007F00D5"/>
    <w:rsid w:val="007F315C"/>
    <w:rsid w:val="00801D9D"/>
    <w:rsid w:val="00807C2A"/>
    <w:rsid w:val="008158D9"/>
    <w:rsid w:val="008209BC"/>
    <w:rsid w:val="008468D6"/>
    <w:rsid w:val="00867C5C"/>
    <w:rsid w:val="00880247"/>
    <w:rsid w:val="008A08C3"/>
    <w:rsid w:val="008A6C6F"/>
    <w:rsid w:val="008A799B"/>
    <w:rsid w:val="008C3D9B"/>
    <w:rsid w:val="008C464C"/>
    <w:rsid w:val="008C4F6E"/>
    <w:rsid w:val="008D08A7"/>
    <w:rsid w:val="008D15C2"/>
    <w:rsid w:val="008E3F9D"/>
    <w:rsid w:val="008E5412"/>
    <w:rsid w:val="008F6562"/>
    <w:rsid w:val="008F772D"/>
    <w:rsid w:val="00907F36"/>
    <w:rsid w:val="009176C1"/>
    <w:rsid w:val="00921396"/>
    <w:rsid w:val="00924482"/>
    <w:rsid w:val="009338CA"/>
    <w:rsid w:val="00947327"/>
    <w:rsid w:val="00950397"/>
    <w:rsid w:val="00950F36"/>
    <w:rsid w:val="00955CDB"/>
    <w:rsid w:val="0095732A"/>
    <w:rsid w:val="00962631"/>
    <w:rsid w:val="009730B6"/>
    <w:rsid w:val="00973669"/>
    <w:rsid w:val="00983BC1"/>
    <w:rsid w:val="009A73EA"/>
    <w:rsid w:val="009D15D2"/>
    <w:rsid w:val="009D670F"/>
    <w:rsid w:val="009E273A"/>
    <w:rsid w:val="009E2993"/>
    <w:rsid w:val="009E504B"/>
    <w:rsid w:val="009E7CC8"/>
    <w:rsid w:val="009F7F5A"/>
    <w:rsid w:val="00A02BD1"/>
    <w:rsid w:val="00A03B3F"/>
    <w:rsid w:val="00A06B46"/>
    <w:rsid w:val="00A103E6"/>
    <w:rsid w:val="00A229E1"/>
    <w:rsid w:val="00A26F08"/>
    <w:rsid w:val="00A33B83"/>
    <w:rsid w:val="00A447F3"/>
    <w:rsid w:val="00A455D9"/>
    <w:rsid w:val="00A54683"/>
    <w:rsid w:val="00A54F84"/>
    <w:rsid w:val="00A5657C"/>
    <w:rsid w:val="00A61CB8"/>
    <w:rsid w:val="00A722DF"/>
    <w:rsid w:val="00A74825"/>
    <w:rsid w:val="00A82265"/>
    <w:rsid w:val="00A8765C"/>
    <w:rsid w:val="00A927BA"/>
    <w:rsid w:val="00A92808"/>
    <w:rsid w:val="00A946BE"/>
    <w:rsid w:val="00AA47D9"/>
    <w:rsid w:val="00AA51A3"/>
    <w:rsid w:val="00AB1530"/>
    <w:rsid w:val="00AB186F"/>
    <w:rsid w:val="00AB5349"/>
    <w:rsid w:val="00AC0A5C"/>
    <w:rsid w:val="00AC23DB"/>
    <w:rsid w:val="00AD2E97"/>
    <w:rsid w:val="00AD5AF7"/>
    <w:rsid w:val="00AE44CE"/>
    <w:rsid w:val="00AE64FF"/>
    <w:rsid w:val="00AF01E2"/>
    <w:rsid w:val="00AF6DE8"/>
    <w:rsid w:val="00AF7A68"/>
    <w:rsid w:val="00AF7FE2"/>
    <w:rsid w:val="00B119E3"/>
    <w:rsid w:val="00B165B5"/>
    <w:rsid w:val="00B2131C"/>
    <w:rsid w:val="00B21E7E"/>
    <w:rsid w:val="00B2249D"/>
    <w:rsid w:val="00B37391"/>
    <w:rsid w:val="00B43E09"/>
    <w:rsid w:val="00B44E7D"/>
    <w:rsid w:val="00B47238"/>
    <w:rsid w:val="00B47D2A"/>
    <w:rsid w:val="00B551BE"/>
    <w:rsid w:val="00B56427"/>
    <w:rsid w:val="00B727BC"/>
    <w:rsid w:val="00B774C1"/>
    <w:rsid w:val="00B80C7A"/>
    <w:rsid w:val="00B8798B"/>
    <w:rsid w:val="00B92502"/>
    <w:rsid w:val="00B96F76"/>
    <w:rsid w:val="00BA2E23"/>
    <w:rsid w:val="00BA3C6E"/>
    <w:rsid w:val="00BA4639"/>
    <w:rsid w:val="00BA5967"/>
    <w:rsid w:val="00BB2C10"/>
    <w:rsid w:val="00BB51D5"/>
    <w:rsid w:val="00BB7D34"/>
    <w:rsid w:val="00BC63C5"/>
    <w:rsid w:val="00BC6CAE"/>
    <w:rsid w:val="00BC6F52"/>
    <w:rsid w:val="00BE0CD3"/>
    <w:rsid w:val="00BE0E6E"/>
    <w:rsid w:val="00BE12D5"/>
    <w:rsid w:val="00BE49D3"/>
    <w:rsid w:val="00BE72CB"/>
    <w:rsid w:val="00BE75D6"/>
    <w:rsid w:val="00BF4CEB"/>
    <w:rsid w:val="00C039E6"/>
    <w:rsid w:val="00C03D1A"/>
    <w:rsid w:val="00C144DA"/>
    <w:rsid w:val="00C16985"/>
    <w:rsid w:val="00C16A9A"/>
    <w:rsid w:val="00C20049"/>
    <w:rsid w:val="00C26557"/>
    <w:rsid w:val="00C30C78"/>
    <w:rsid w:val="00C333F1"/>
    <w:rsid w:val="00C36345"/>
    <w:rsid w:val="00C37074"/>
    <w:rsid w:val="00C61862"/>
    <w:rsid w:val="00C65820"/>
    <w:rsid w:val="00C65D87"/>
    <w:rsid w:val="00C6626C"/>
    <w:rsid w:val="00C66EB9"/>
    <w:rsid w:val="00C700D9"/>
    <w:rsid w:val="00C71774"/>
    <w:rsid w:val="00C74383"/>
    <w:rsid w:val="00C74981"/>
    <w:rsid w:val="00C81757"/>
    <w:rsid w:val="00C858C0"/>
    <w:rsid w:val="00C859B0"/>
    <w:rsid w:val="00C9196A"/>
    <w:rsid w:val="00C97CEF"/>
    <w:rsid w:val="00CA0A5B"/>
    <w:rsid w:val="00CB317D"/>
    <w:rsid w:val="00CB4CD2"/>
    <w:rsid w:val="00CC1D93"/>
    <w:rsid w:val="00CD38D1"/>
    <w:rsid w:val="00CD52EE"/>
    <w:rsid w:val="00CD70F9"/>
    <w:rsid w:val="00CE2E0F"/>
    <w:rsid w:val="00CF249F"/>
    <w:rsid w:val="00CF551B"/>
    <w:rsid w:val="00D042C0"/>
    <w:rsid w:val="00D1313A"/>
    <w:rsid w:val="00D17126"/>
    <w:rsid w:val="00D20772"/>
    <w:rsid w:val="00D268C9"/>
    <w:rsid w:val="00D40B04"/>
    <w:rsid w:val="00D517AC"/>
    <w:rsid w:val="00D55D32"/>
    <w:rsid w:val="00D56644"/>
    <w:rsid w:val="00D57254"/>
    <w:rsid w:val="00D6237B"/>
    <w:rsid w:val="00D64664"/>
    <w:rsid w:val="00D64D2F"/>
    <w:rsid w:val="00D656C1"/>
    <w:rsid w:val="00D745B0"/>
    <w:rsid w:val="00D75299"/>
    <w:rsid w:val="00D76936"/>
    <w:rsid w:val="00D92BAA"/>
    <w:rsid w:val="00D96599"/>
    <w:rsid w:val="00DA60E9"/>
    <w:rsid w:val="00DA6DC5"/>
    <w:rsid w:val="00DC01E4"/>
    <w:rsid w:val="00DC279C"/>
    <w:rsid w:val="00DD3AF8"/>
    <w:rsid w:val="00DD45B7"/>
    <w:rsid w:val="00DE0CDB"/>
    <w:rsid w:val="00DF1BF6"/>
    <w:rsid w:val="00E1358A"/>
    <w:rsid w:val="00E23A64"/>
    <w:rsid w:val="00E23AD7"/>
    <w:rsid w:val="00E31EF2"/>
    <w:rsid w:val="00E32A0A"/>
    <w:rsid w:val="00E35B22"/>
    <w:rsid w:val="00E40B5A"/>
    <w:rsid w:val="00E4227B"/>
    <w:rsid w:val="00E44AEA"/>
    <w:rsid w:val="00E5005B"/>
    <w:rsid w:val="00E64773"/>
    <w:rsid w:val="00E65E2A"/>
    <w:rsid w:val="00E67868"/>
    <w:rsid w:val="00E67ED1"/>
    <w:rsid w:val="00E75F9E"/>
    <w:rsid w:val="00E82DBC"/>
    <w:rsid w:val="00E92451"/>
    <w:rsid w:val="00EB02FC"/>
    <w:rsid w:val="00EB2880"/>
    <w:rsid w:val="00EB431F"/>
    <w:rsid w:val="00EB76E6"/>
    <w:rsid w:val="00EC22EE"/>
    <w:rsid w:val="00EC280D"/>
    <w:rsid w:val="00EC28D3"/>
    <w:rsid w:val="00EC437D"/>
    <w:rsid w:val="00EC479C"/>
    <w:rsid w:val="00EC5EF8"/>
    <w:rsid w:val="00ED540A"/>
    <w:rsid w:val="00ED77D1"/>
    <w:rsid w:val="00EE2E2F"/>
    <w:rsid w:val="00EE4349"/>
    <w:rsid w:val="00EE637F"/>
    <w:rsid w:val="00EE6780"/>
    <w:rsid w:val="00EF0EE6"/>
    <w:rsid w:val="00F02ADA"/>
    <w:rsid w:val="00F1366D"/>
    <w:rsid w:val="00F16225"/>
    <w:rsid w:val="00F27C96"/>
    <w:rsid w:val="00F30D15"/>
    <w:rsid w:val="00F32723"/>
    <w:rsid w:val="00F34DAF"/>
    <w:rsid w:val="00F35435"/>
    <w:rsid w:val="00F44BE9"/>
    <w:rsid w:val="00F517FA"/>
    <w:rsid w:val="00F57973"/>
    <w:rsid w:val="00F579F0"/>
    <w:rsid w:val="00F6387B"/>
    <w:rsid w:val="00F84406"/>
    <w:rsid w:val="00F869DF"/>
    <w:rsid w:val="00F87019"/>
    <w:rsid w:val="00FA2CFD"/>
    <w:rsid w:val="00FB3716"/>
    <w:rsid w:val="00FB5BE5"/>
    <w:rsid w:val="00FC5E58"/>
    <w:rsid w:val="00FD2DD7"/>
    <w:rsid w:val="00FE0628"/>
    <w:rsid w:val="00FE11FE"/>
    <w:rsid w:val="00FE6277"/>
    <w:rsid w:val="00FE68A4"/>
    <w:rsid w:val="00FE79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B0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rsid w:val="004D7B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B0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B0A"/>
    <w:rPr>
      <w:rFonts w:ascii="Tahoma" w:eastAsia="Times New Roman" w:hAnsi="Tahoma" w:cs="Tahoma"/>
      <w:sz w:val="16"/>
      <w:szCs w:val="16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B0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rsid w:val="004D7B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B0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B0A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Limosani Emanuela</dc:creator>
  <cp:lastModifiedBy>Borella Davide</cp:lastModifiedBy>
  <cp:revision>3</cp:revision>
  <dcterms:created xsi:type="dcterms:W3CDTF">2016-11-21T17:01:00Z</dcterms:created>
  <dcterms:modified xsi:type="dcterms:W3CDTF">2016-12-12T15:43:00Z</dcterms:modified>
</cp:coreProperties>
</file>